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5" w:rsidRPr="002412C5" w:rsidRDefault="002412C5" w:rsidP="002412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b/>
          <w:bCs/>
          <w:sz w:val="32"/>
          <w:szCs w:val="32"/>
          <w:lang w:eastAsia="ru-RU"/>
        </w:rPr>
        <w:t>СОВЕТ ДЕПУТАТОВ</w:t>
      </w:r>
    </w:p>
    <w:p w:rsidR="002412C5" w:rsidRPr="002412C5" w:rsidRDefault="002412C5" w:rsidP="002412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 «НОВОЗАГАНСКОЕ» МУХОРШИБИРСКОГО РАЙОНА РЕСПУБЛИКИ БУРЯТИЯ (СЕЛЬСКОЕ ПОСЕЛЕНИЕ)</w:t>
      </w:r>
    </w:p>
    <w:p w:rsidR="002412C5" w:rsidRPr="002412C5" w:rsidRDefault="002412C5" w:rsidP="002412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2412C5" w:rsidRPr="002412C5" w:rsidRDefault="002412C5" w:rsidP="002412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2412C5" w:rsidRPr="002412C5" w:rsidRDefault="002412C5" w:rsidP="002412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b/>
          <w:bCs/>
          <w:sz w:val="32"/>
          <w:szCs w:val="32"/>
          <w:lang w:eastAsia="ru-RU"/>
        </w:rPr>
        <w:t>РЕШЕНИЕ</w:t>
      </w:r>
    </w:p>
    <w:p w:rsidR="002412C5" w:rsidRPr="002412C5" w:rsidRDefault="002412C5" w:rsidP="002412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2412C5" w:rsidRPr="002412C5" w:rsidRDefault="002412C5" w:rsidP="002412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b/>
          <w:bCs/>
          <w:sz w:val="32"/>
          <w:szCs w:val="32"/>
          <w:lang w:eastAsia="ru-RU"/>
        </w:rPr>
        <w:t xml:space="preserve">от 29 декабря 2020 г.                                                                                                                </w:t>
      </w:r>
      <w:r w:rsidRPr="002412C5">
        <w:rPr>
          <w:rFonts w:eastAsia="Times New Roman"/>
          <w:b/>
          <w:bCs/>
          <w:caps/>
          <w:sz w:val="32"/>
          <w:szCs w:val="32"/>
          <w:lang w:eastAsia="ru-RU"/>
        </w:rPr>
        <w:t>№ 34</w:t>
      </w:r>
    </w:p>
    <w:p w:rsidR="002412C5" w:rsidRPr="002412C5" w:rsidRDefault="002412C5" w:rsidP="002412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2412C5" w:rsidRPr="002412C5" w:rsidRDefault="002412C5" w:rsidP="002412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b/>
          <w:bCs/>
          <w:sz w:val="32"/>
          <w:szCs w:val="32"/>
          <w:lang w:eastAsia="ru-RU"/>
        </w:rPr>
        <w:t>«О местном бюджете муниципального образования сельское поселение «Новозаганское» на 2021 год и на плановый период 2022 и 2023 годов»</w:t>
      </w:r>
    </w:p>
    <w:p w:rsidR="002412C5" w:rsidRPr="002412C5" w:rsidRDefault="002412C5" w:rsidP="002412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sz w:val="24"/>
          <w:szCs w:val="24"/>
          <w:lang w:eastAsia="ru-RU"/>
        </w:rPr>
        <w:t xml:space="preserve">(в ред. </w:t>
      </w:r>
      <w:hyperlink r:id="rId5" w:tgtFrame="_blank" w:history="1">
        <w:r w:rsidRPr="00241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Решения от 01.10.2021 г. № 39</w:t>
        </w:r>
      </w:hyperlink>
      <w:r w:rsidRPr="002412C5">
        <w:rPr>
          <w:rFonts w:eastAsia="Times New Roman"/>
          <w:sz w:val="24"/>
          <w:szCs w:val="24"/>
          <w:lang w:eastAsia="ru-RU"/>
        </w:rPr>
        <w:t>)</w:t>
      </w:r>
    </w:p>
    <w:p w:rsidR="002412C5" w:rsidRPr="002412C5" w:rsidRDefault="002412C5" w:rsidP="002412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12C5">
        <w:rPr>
          <w:rFonts w:eastAsia="Times New Roman"/>
          <w:sz w:val="24"/>
          <w:szCs w:val="24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Статья 1. 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>Основные</w:t>
      </w:r>
      <w:r w:rsidRPr="00040DA9">
        <w:rPr>
          <w:rFonts w:eastAsia="Times New Roman"/>
          <w:sz w:val="28"/>
          <w:szCs w:val="28"/>
          <w:lang w:eastAsia="ru-RU"/>
        </w:rPr>
        <w:t xml:space="preserve"> 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>характеристики местного бюджета на 1 октября 2021 г.</w:t>
      </w:r>
    </w:p>
    <w:p w:rsidR="002412C5" w:rsidRPr="00040DA9" w:rsidRDefault="002412C5" w:rsidP="009511BE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1)Утвердить основные характеристики местного бюджета на 1 октября 2021 г:</w:t>
      </w:r>
    </w:p>
    <w:p w:rsidR="002412C5" w:rsidRPr="00040DA9" w:rsidRDefault="002412C5" w:rsidP="009511B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-общий объём доходов в сумме 5803,881 тыс. рублей, в том числе безвозмездных поступлений в сумме 4095,581</w:t>
      </w:r>
    </w:p>
    <w:p w:rsidR="002412C5" w:rsidRPr="00040DA9" w:rsidRDefault="002412C5" w:rsidP="009511B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-общий объём расходов в сумме 6518,788 тыс. рублей;</w:t>
      </w:r>
    </w:p>
    <w:p w:rsidR="002412C5" w:rsidRPr="00040DA9" w:rsidRDefault="002412C5" w:rsidP="009511B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-дефицит (</w:t>
      </w:r>
      <w:proofErr w:type="spellStart"/>
      <w:r w:rsidRPr="00040DA9">
        <w:rPr>
          <w:rFonts w:eastAsia="Times New Roman"/>
          <w:sz w:val="28"/>
          <w:szCs w:val="28"/>
          <w:lang w:eastAsia="ru-RU"/>
        </w:rPr>
        <w:t>профиицит</w:t>
      </w:r>
      <w:proofErr w:type="spellEnd"/>
      <w:r w:rsidRPr="00040DA9">
        <w:rPr>
          <w:rFonts w:eastAsia="Times New Roman"/>
          <w:sz w:val="28"/>
          <w:szCs w:val="28"/>
          <w:lang w:eastAsia="ru-RU"/>
        </w:rPr>
        <w:t>) в сумме 714,905 тыс. рублей.</w:t>
      </w:r>
    </w:p>
    <w:p w:rsidR="002412C5" w:rsidRPr="00040DA9" w:rsidRDefault="002412C5" w:rsidP="009511B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Статья 2. 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>Главные администраторы доходов и главные администраторы источников финансирования дефицита местного бюджета.</w:t>
      </w:r>
    </w:p>
    <w:p w:rsidR="002412C5" w:rsidRPr="00040DA9" w:rsidRDefault="002412C5" w:rsidP="009511B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Утвердить:</w:t>
      </w:r>
    </w:p>
    <w:p w:rsidR="002412C5" w:rsidRPr="00040DA9" w:rsidRDefault="002412C5" w:rsidP="009511B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1)</w:t>
      </w:r>
      <w:r w:rsidR="004C6D8A" w:rsidRPr="00040DA9">
        <w:rPr>
          <w:rFonts w:eastAsia="Times New Roman"/>
          <w:sz w:val="28"/>
          <w:szCs w:val="28"/>
          <w:lang w:eastAsia="ru-RU"/>
        </w:rPr>
        <w:t>     </w:t>
      </w:r>
      <w:r w:rsidRPr="00040DA9">
        <w:rPr>
          <w:rFonts w:eastAsia="Times New Roman"/>
          <w:sz w:val="28"/>
          <w:szCs w:val="28"/>
          <w:lang w:eastAsia="ru-RU"/>
        </w:rPr>
        <w:t>Перечень главных администраторов доходов местного бюджета- органов местного самоуправления МО сельского поселение «Новозаганское» и закрепляемые за ними виды доходов согласно приложению 1 к настоящему Решению;</w:t>
      </w:r>
    </w:p>
    <w:p w:rsidR="002412C5" w:rsidRPr="00040DA9" w:rsidRDefault="002412C5" w:rsidP="009511B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2)    Перечень главных администраторов доходов местного бюджета- органов государственной власти Российской Федерации, Республики </w:t>
      </w:r>
      <w:r w:rsidRPr="00040DA9">
        <w:rPr>
          <w:rFonts w:eastAsia="Times New Roman"/>
          <w:sz w:val="28"/>
          <w:szCs w:val="28"/>
          <w:lang w:eastAsia="ru-RU"/>
        </w:rPr>
        <w:lastRenderedPageBreak/>
        <w:t>Бурятия, органов местного самоуправления МО «Мухоршибирский район» согласно приложению 2 к настоящему Решению;</w:t>
      </w:r>
    </w:p>
    <w:p w:rsidR="002412C5" w:rsidRPr="00040DA9" w:rsidRDefault="002412C5" w:rsidP="009511BE">
      <w:pPr>
        <w:spacing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3)  Перечень главных администраторов источников финансирования </w:t>
      </w:r>
      <w:proofErr w:type="spellStart"/>
      <w:r w:rsidRPr="00040DA9">
        <w:rPr>
          <w:rFonts w:eastAsia="Times New Roman"/>
          <w:sz w:val="28"/>
          <w:szCs w:val="28"/>
          <w:lang w:eastAsia="ru-RU"/>
        </w:rPr>
        <w:t>делифицита</w:t>
      </w:r>
      <w:proofErr w:type="spellEnd"/>
      <w:r w:rsidRPr="00040DA9">
        <w:rPr>
          <w:rFonts w:eastAsia="Times New Roman"/>
          <w:sz w:val="28"/>
          <w:szCs w:val="28"/>
          <w:lang w:eastAsia="ru-RU"/>
        </w:rPr>
        <w:t xml:space="preserve"> местного бюджета согласно приложению 3 к настоящему Решению.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Статья 3. 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>Налоговые и неналоговые доходы местного бюджета.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Утвердить налоговые и неналоговые доходы местного бюджета: на 2021 год согласно приложению 4 к настоящему Решению;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Статья 4.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 xml:space="preserve"> Безвозмездные поступления, поступающие в местный бюджет.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Утвердить объем безвозмездных поступлений: на 2021 год согласно приложению 6 к настоящему Решению;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Статья 5. 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>Бюджетные ассигнования местного бюджета на 2021 год 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Утвердить:</w:t>
      </w:r>
    </w:p>
    <w:p w:rsidR="002412C5" w:rsidRPr="00040DA9" w:rsidRDefault="002412C5" w:rsidP="009511BE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1)  В пределах общего объема расходов, установленного статьей 1 настоящего Решения, Распределение бюджетных ассигнований по целевым статьям, видам расходов, ведомствам, а также по разделам, подразделам классификации расходов бюджета: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На 2021 год согласно приложению 8 к настоящему Решению;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Статья 6. 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Утвердить источники финансирования дефицита местного бюджета: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На 2021 год согласно приложению 12 к настоящему Решению;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Статья 7. 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>Муниципальный долг.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Установить: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1)Верхний предел муниципального долга муниципального образования на 1 января 2022 года в сумме 0,00 тыс. рублей. </w:t>
      </w:r>
    </w:p>
    <w:p w:rsidR="002412C5" w:rsidRPr="00040DA9" w:rsidRDefault="002412C5" w:rsidP="009511BE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2) предельный объем муниципального долга муниципального образования в течение 2021 года не должен превышать 0,00 тыс. рублей.</w:t>
      </w:r>
    </w:p>
    <w:p w:rsidR="002412C5" w:rsidRPr="00040DA9" w:rsidRDefault="002412C5" w:rsidP="009511B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3) верхний предел долга по муниципальным гарантиям на 1 января 2022 года в сумме 0,00 рублей.</w:t>
      </w:r>
    </w:p>
    <w:p w:rsidR="002412C5" w:rsidRPr="00040DA9" w:rsidRDefault="002412C5" w:rsidP="009511BE">
      <w:pPr>
        <w:spacing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Статья 9.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 xml:space="preserve"> Особенности исполнения местного бюджета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lastRenderedPageBreak/>
        <w:t>1.Администрация муниципального образования сельского поселение «Новозаганское» вправе направить в течение финансового года остатки средств местного бюджета, за исключением остатков неиспользованных межбюджетных трансфертов, полученных местных бюджетов в форме субвенций, субсидий и иных межбюджетных трансфертов , на осуществление выплат, сокращающих долговые обязательства.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2. На увеличивать в 2021 году численность работников местного самоуправления, содержание которых производится за счет средств местного бюджета ,за исключением случаев наделения Республики Бурятия республиканским законодательством новыми полномочиями.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3. Установить в соответствии с пунктом 8 статьи 217 Бюджетного кодекса Российской Федерации,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 в пределах объема бюджетных ассигнований: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1)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040DA9">
        <w:rPr>
          <w:rFonts w:eastAsia="Times New Roman"/>
          <w:sz w:val="28"/>
          <w:szCs w:val="28"/>
          <w:lang w:eastAsia="ru-RU"/>
        </w:rPr>
        <w:t>софинансирования</w:t>
      </w:r>
      <w:proofErr w:type="spellEnd"/>
      <w:r w:rsidRPr="00040DA9">
        <w:rPr>
          <w:rFonts w:eastAsia="Times New Roman"/>
          <w:sz w:val="28"/>
          <w:szCs w:val="28"/>
          <w:lang w:eastAsia="ru-RU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бюджета- в пределах объема бюджетных ассигнований;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местного бюджета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местного бюджета.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Статья 10. 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>Особенности внесения изменений и дополнений в Решение о бюджете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Нормативные и иные правовые акты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lastRenderedPageBreak/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</w:t>
      </w:r>
      <w:proofErr w:type="spellStart"/>
      <w:r w:rsidRPr="00040DA9">
        <w:rPr>
          <w:rFonts w:eastAsia="Times New Roman"/>
          <w:sz w:val="28"/>
          <w:szCs w:val="28"/>
          <w:lang w:eastAsia="ru-RU"/>
        </w:rPr>
        <w:t>средств,предусмотренных</w:t>
      </w:r>
      <w:proofErr w:type="spellEnd"/>
      <w:r w:rsidRPr="00040DA9">
        <w:rPr>
          <w:rFonts w:eastAsia="Times New Roman"/>
          <w:sz w:val="28"/>
          <w:szCs w:val="28"/>
          <w:lang w:eastAsia="ru-RU"/>
        </w:rPr>
        <w:t xml:space="preserve"> на эти цели в местном бюджете.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Статья 11.</w:t>
      </w:r>
      <w:r w:rsidRPr="00040DA9">
        <w:rPr>
          <w:rFonts w:eastAsia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 xml:space="preserve">Настоящее решение вступает в силу с 1 октября 2021 года. 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Глава муниципального образования</w:t>
      </w:r>
    </w:p>
    <w:p w:rsidR="002412C5" w:rsidRPr="00040DA9" w:rsidRDefault="00040DA9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сельское поселение</w:t>
      </w:r>
      <w:r w:rsidR="002412C5" w:rsidRPr="00040DA9">
        <w:rPr>
          <w:rFonts w:eastAsia="Times New Roman"/>
          <w:sz w:val="28"/>
          <w:szCs w:val="28"/>
          <w:lang w:eastAsia="ru-RU"/>
        </w:rPr>
        <w:t xml:space="preserve">«Новозаганское» </w:t>
      </w:r>
      <w:r w:rsidR="009511BE" w:rsidRPr="00040DA9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="002412C5" w:rsidRPr="00040DA9">
        <w:rPr>
          <w:rFonts w:eastAsia="Times New Roman"/>
          <w:sz w:val="28"/>
          <w:szCs w:val="28"/>
          <w:lang w:eastAsia="ru-RU"/>
        </w:rPr>
        <w:t>О.Н. Ланцова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Председатель Совета депутатов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2412C5" w:rsidRPr="00040DA9" w:rsidRDefault="00040DA9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сельское поселение</w:t>
      </w:r>
      <w:r w:rsidR="002412C5" w:rsidRPr="00040DA9">
        <w:rPr>
          <w:rFonts w:eastAsia="Times New Roman"/>
          <w:sz w:val="28"/>
          <w:szCs w:val="28"/>
          <w:lang w:eastAsia="ru-RU"/>
        </w:rPr>
        <w:t>«Новозаганское»</w:t>
      </w:r>
      <w:r w:rsidR="009511BE" w:rsidRPr="00040DA9">
        <w:rPr>
          <w:rFonts w:eastAsia="Times New Roman"/>
          <w:sz w:val="28"/>
          <w:szCs w:val="28"/>
          <w:lang w:eastAsia="ru-RU"/>
        </w:rPr>
        <w:t xml:space="preserve">               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="009511BE" w:rsidRPr="00040DA9">
        <w:rPr>
          <w:rFonts w:eastAsia="Times New Roman"/>
          <w:sz w:val="28"/>
          <w:szCs w:val="28"/>
          <w:lang w:eastAsia="ru-RU"/>
        </w:rPr>
        <w:t xml:space="preserve">                </w:t>
      </w:r>
      <w:r w:rsidR="002412C5" w:rsidRPr="00040DA9">
        <w:rPr>
          <w:rFonts w:eastAsia="Times New Roman"/>
          <w:sz w:val="28"/>
          <w:szCs w:val="28"/>
          <w:lang w:eastAsia="ru-RU"/>
        </w:rPr>
        <w:t xml:space="preserve"> Е.С. Леонова</w:t>
      </w:r>
    </w:p>
    <w:p w:rsidR="002412C5" w:rsidRPr="009511BE" w:rsidRDefault="002412C5" w:rsidP="009511BE">
      <w:pPr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4"/>
          <w:szCs w:val="24"/>
          <w:lang w:eastAsia="ru-RU"/>
        </w:rPr>
        <w:br w:type="page"/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lastRenderedPageBreak/>
        <w:t> 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Приложение 1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Перечень главных администраторов доходов местного бюджета – органов местного самоуправления МО сельское поселение «Новозаганское» и закрепляемые за ними виды доходов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10060" w:type="dxa"/>
        <w:tblCellMar>
          <w:left w:w="0" w:type="dxa"/>
          <w:right w:w="0" w:type="dxa"/>
        </w:tblCellMar>
        <w:tblLook w:val="04A0"/>
      </w:tblPr>
      <w:tblGrid>
        <w:gridCol w:w="1049"/>
        <w:gridCol w:w="1099"/>
        <w:gridCol w:w="2533"/>
        <w:gridCol w:w="5379"/>
      </w:tblGrid>
      <w:tr w:rsidR="002412C5" w:rsidRPr="00040DA9" w:rsidTr="002412C5">
        <w:trPr>
          <w:trHeight w:val="63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412C5" w:rsidRPr="00040DA9" w:rsidTr="002412C5">
        <w:trPr>
          <w:trHeight w:val="585"/>
        </w:trPr>
        <w:tc>
          <w:tcPr>
            <w:tcW w:w="10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«Новозаганское» Мухоршибирского района Республики Бурятия (сельское поселение)</w:t>
            </w:r>
          </w:p>
        </w:tc>
      </w:tr>
      <w:tr w:rsidR="002412C5" w:rsidRPr="00040DA9" w:rsidTr="002412C5">
        <w:trPr>
          <w:trHeight w:val="1050"/>
        </w:trPr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доходов бюджета сельского поселения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rPr>
          <w:trHeight w:val="171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2C5" w:rsidRPr="00040DA9" w:rsidTr="002412C5">
        <w:trPr>
          <w:trHeight w:val="1515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2C5" w:rsidRPr="00040DA9" w:rsidTr="002412C5">
        <w:trPr>
          <w:trHeight w:val="6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412C5" w:rsidRPr="00040DA9" w:rsidTr="002412C5">
        <w:trPr>
          <w:trHeight w:val="18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2C5" w:rsidRPr="00040DA9" w:rsidTr="002412C5">
        <w:trPr>
          <w:trHeight w:val="6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412C5" w:rsidRPr="00040DA9" w:rsidTr="002412C5">
        <w:trPr>
          <w:trHeight w:val="6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412C5" w:rsidRPr="00040DA9" w:rsidTr="002412C5">
        <w:trPr>
          <w:trHeight w:val="585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1 17 14030 10 0000 150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412C5" w:rsidRPr="00040DA9" w:rsidTr="002412C5">
        <w:trPr>
          <w:trHeight w:val="6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412C5" w:rsidRPr="00040DA9" w:rsidTr="002412C5">
        <w:trPr>
          <w:trHeight w:val="549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2412C5" w:rsidRPr="00040DA9" w:rsidTr="002412C5">
        <w:trPr>
          <w:trHeight w:val="9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12C5" w:rsidRPr="00040DA9" w:rsidTr="002412C5">
        <w:trPr>
          <w:trHeight w:val="12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2 02 45160 10 0000 150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12C5" w:rsidRPr="00040DA9" w:rsidTr="002412C5">
        <w:trPr>
          <w:trHeight w:val="6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2 02 90054 10 0000 150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412C5" w:rsidRPr="00040DA9" w:rsidTr="002412C5">
        <w:trPr>
          <w:trHeight w:val="6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5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Приложение 2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к Решению Совета депутатов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10381" w:type="dxa"/>
        <w:tblCellMar>
          <w:left w:w="0" w:type="dxa"/>
          <w:right w:w="0" w:type="dxa"/>
        </w:tblCellMar>
        <w:tblLook w:val="04A0"/>
      </w:tblPr>
      <w:tblGrid>
        <w:gridCol w:w="594"/>
        <w:gridCol w:w="2148"/>
        <w:gridCol w:w="2471"/>
        <w:gridCol w:w="5168"/>
      </w:tblGrid>
      <w:tr w:rsidR="002412C5" w:rsidRPr="00040DA9" w:rsidTr="002412C5">
        <w:trPr>
          <w:trHeight w:val="255"/>
        </w:trPr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412C5" w:rsidRPr="00040DA9" w:rsidTr="002412C5">
        <w:trPr>
          <w:trHeight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412C5" w:rsidRPr="00040DA9" w:rsidTr="002412C5">
        <w:trPr>
          <w:trHeight w:val="360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Межрайонная инспекция Федеральной налоговой службы России №1 по Республике Бурятия</w:t>
            </w:r>
          </w:p>
        </w:tc>
      </w:tr>
      <w:tr w:rsidR="002412C5" w:rsidRPr="00040DA9" w:rsidTr="002412C5">
        <w:trPr>
          <w:trHeight w:val="435"/>
        </w:trPr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</w:tr>
      <w:tr w:rsidR="002412C5" w:rsidRPr="00040DA9" w:rsidTr="002412C5">
        <w:trPr>
          <w:trHeight w:val="300"/>
        </w:trPr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2412C5" w:rsidRPr="00040DA9" w:rsidTr="002412C5">
        <w:trPr>
          <w:trHeight w:val="900"/>
        </w:trPr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412C5" w:rsidRPr="00040DA9" w:rsidTr="002412C5">
        <w:trPr>
          <w:trHeight w:val="600"/>
        </w:trPr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412C5" w:rsidRPr="00040DA9" w:rsidTr="002412C5">
        <w:trPr>
          <w:trHeight w:val="600"/>
        </w:trPr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Приложение 3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Перечень главных администраторов источников финансирования дефицита местного бюджета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10367" w:type="dxa"/>
        <w:tblCellMar>
          <w:left w:w="0" w:type="dxa"/>
          <w:right w:w="0" w:type="dxa"/>
        </w:tblCellMar>
        <w:tblLook w:val="04A0"/>
      </w:tblPr>
      <w:tblGrid>
        <w:gridCol w:w="594"/>
        <w:gridCol w:w="2211"/>
        <w:gridCol w:w="2688"/>
        <w:gridCol w:w="4874"/>
      </w:tblGrid>
      <w:tr w:rsidR="002412C5" w:rsidRPr="00040DA9" w:rsidTr="002412C5">
        <w:trPr>
          <w:trHeight w:val="540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412C5" w:rsidRPr="00040DA9" w:rsidTr="002412C5">
        <w:trPr>
          <w:trHeight w:val="14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7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412C5" w:rsidRPr="00040DA9" w:rsidTr="002412C5">
        <w:trPr>
          <w:trHeight w:val="315"/>
        </w:trPr>
        <w:tc>
          <w:tcPr>
            <w:tcW w:w="103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«Новозаганское» Мухоршибирского района Республики Бурятия (сельское поселение)</w:t>
            </w:r>
          </w:p>
        </w:tc>
      </w:tr>
      <w:tr w:rsidR="002412C5" w:rsidRPr="00040DA9" w:rsidTr="002412C5">
        <w:trPr>
          <w:trHeight w:val="60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412C5" w:rsidRPr="00040DA9" w:rsidTr="002412C5">
        <w:trPr>
          <w:trHeight w:val="60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7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Приложение 4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(в ред. </w:t>
      </w:r>
      <w:hyperlink r:id="rId6" w:tgtFrame="_blank" w:history="1">
        <w:r w:rsidRPr="00040DA9">
          <w:rPr>
            <w:color w:val="0000FF"/>
            <w:sz w:val="28"/>
            <w:szCs w:val="28"/>
            <w:u w:val="single"/>
            <w:lang w:eastAsia="ru-RU"/>
          </w:rPr>
          <w:t>Решения от 01.10.2021 г. № 39</w:t>
        </w:r>
      </w:hyperlink>
      <w:r w:rsidRPr="00040DA9">
        <w:rPr>
          <w:sz w:val="28"/>
          <w:szCs w:val="28"/>
          <w:lang w:eastAsia="ru-RU"/>
        </w:rPr>
        <w:t>)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Налоговые и неналоговые доходы местного бюджета на 2021 год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(тыс. рублей)</w:t>
      </w: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7809"/>
        <w:gridCol w:w="1273"/>
        <w:gridCol w:w="1266"/>
      </w:tblGrid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НАЛОГИ НА ПРИБЫЛЬ,ДОХОДЫ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 в соответствии со статьями 227,2271 и 228 Налогового кодекса Российской Федерации(сумма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1325,000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17,300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Земельный налог с организаций, обладающих земельном участком, расположенным в границах сельских поселений ( сумма платежа (перерасчеты,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167,300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Земельный налог с физических лиц, обладающих земельном участком, расположенным в границах сельских поселений ( сумма платежа (перерасчеты,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1150,000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-150,000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105,000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-10,000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-10,000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1691,000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1708,300</w:t>
            </w:r>
          </w:p>
        </w:tc>
      </w:tr>
    </w:tbl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Приложение 5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lastRenderedPageBreak/>
        <w:t xml:space="preserve">к Решению Совета депутатов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Налоговые и неналоговые доходы местного бюджета на 2022-2023 годы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(тыс. рублей)</w:t>
      </w:r>
    </w:p>
    <w:tbl>
      <w:tblPr>
        <w:tblW w:w="10207" w:type="dxa"/>
        <w:tblCellMar>
          <w:left w:w="0" w:type="dxa"/>
          <w:right w:w="0" w:type="dxa"/>
        </w:tblCellMar>
        <w:tblLook w:val="04A0"/>
      </w:tblPr>
      <w:tblGrid>
        <w:gridCol w:w="7372"/>
        <w:gridCol w:w="1417"/>
        <w:gridCol w:w="1418"/>
      </w:tblGrid>
      <w:tr w:rsidR="002412C5" w:rsidRPr="00040DA9" w:rsidTr="002412C5">
        <w:trPr>
          <w:trHeight w:val="420"/>
        </w:trPr>
        <w:tc>
          <w:tcPr>
            <w:tcW w:w="7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2412C5" w:rsidRPr="00040DA9" w:rsidTr="002412C5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2412C5" w:rsidRPr="00040DA9" w:rsidTr="002412C5">
        <w:trPr>
          <w:trHeight w:val="27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205,600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211,700</w:t>
            </w:r>
          </w:p>
        </w:tc>
      </w:tr>
      <w:tr w:rsidR="002412C5" w:rsidRPr="00040DA9" w:rsidTr="002412C5">
        <w:trPr>
          <w:trHeight w:val="1245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hyperlink r:id="rId7" w:tgtFrame="_blank" w:history="1">
              <w:r w:rsidRPr="00040DA9">
                <w:rPr>
                  <w:rFonts w:eastAsia="Times New Roman"/>
                  <w:color w:val="0000FF"/>
                  <w:sz w:val="28"/>
                  <w:szCs w:val="28"/>
                  <w:lang w:eastAsia="ru-RU"/>
                </w:rPr>
                <w:t>Налогового Кодекса Российской Федерации</w:t>
              </w:r>
            </w:hyperlink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205,600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211,700</w:t>
            </w:r>
          </w:p>
        </w:tc>
      </w:tr>
      <w:tr w:rsidR="002412C5" w:rsidRPr="00040DA9" w:rsidTr="002412C5">
        <w:trPr>
          <w:trHeight w:val="36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11,000</w:t>
            </w:r>
          </w:p>
        </w:tc>
      </w:tr>
      <w:tr w:rsidR="002412C5" w:rsidRPr="00040DA9" w:rsidTr="002412C5">
        <w:trPr>
          <w:trHeight w:val="424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11,000</w:t>
            </w:r>
          </w:p>
        </w:tc>
      </w:tr>
      <w:tr w:rsidR="002412C5" w:rsidRPr="00040DA9" w:rsidTr="002412C5">
        <w:trPr>
          <w:trHeight w:val="675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1 339,700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1 350,400</w:t>
            </w:r>
          </w:p>
        </w:tc>
      </w:tr>
      <w:tr w:rsidR="002412C5" w:rsidRPr="00040DA9" w:rsidTr="002412C5">
        <w:trPr>
          <w:trHeight w:val="63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77,000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79,000</w:t>
            </w:r>
          </w:p>
        </w:tc>
      </w:tr>
      <w:tr w:rsidR="002412C5" w:rsidRPr="00040DA9" w:rsidTr="002412C5">
        <w:trPr>
          <w:trHeight w:val="616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100,000</w:t>
            </w:r>
          </w:p>
        </w:tc>
      </w:tr>
      <w:tr w:rsidR="002412C5" w:rsidRPr="00040DA9" w:rsidTr="002412C5">
        <w:trPr>
          <w:trHeight w:val="129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1 162,700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1 171,400</w:t>
            </w:r>
          </w:p>
        </w:tc>
      </w:tr>
      <w:tr w:rsidR="002412C5" w:rsidRPr="00040DA9" w:rsidTr="002412C5">
        <w:trPr>
          <w:trHeight w:val="93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105,000</w:t>
            </w:r>
          </w:p>
        </w:tc>
      </w:tr>
      <w:tr w:rsidR="002412C5" w:rsidRPr="00040DA9" w:rsidTr="002412C5">
        <w:trPr>
          <w:trHeight w:val="57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2412C5" w:rsidRPr="00040DA9" w:rsidTr="002412C5">
        <w:trPr>
          <w:trHeight w:val="60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2412C5" w:rsidRPr="00040DA9" w:rsidTr="002412C5">
        <w:trPr>
          <w:trHeight w:val="492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2412C5" w:rsidRPr="00040DA9" w:rsidTr="002412C5">
        <w:trPr>
          <w:trHeight w:val="66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2412C5" w:rsidRPr="00040DA9" w:rsidTr="002412C5">
        <w:trPr>
          <w:trHeight w:val="456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1 711,300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1 728,100</w:t>
            </w:r>
          </w:p>
        </w:tc>
      </w:tr>
    </w:tbl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8"/>
          <w:szCs w:val="28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lastRenderedPageBreak/>
        <w:t>Приложение 6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к Решению Совета депутатов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муниципального образования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(в ред. </w:t>
      </w:r>
      <w:hyperlink r:id="rId8" w:tgtFrame="_blank" w:history="1">
        <w:r w:rsidRPr="00040DA9">
          <w:rPr>
            <w:color w:val="0000FF"/>
            <w:sz w:val="28"/>
            <w:szCs w:val="28"/>
            <w:u w:val="single"/>
            <w:lang w:eastAsia="ru-RU"/>
          </w:rPr>
          <w:t>Решения от 01.10.2021 г. № 39</w:t>
        </w:r>
      </w:hyperlink>
      <w:r w:rsidRPr="00040DA9">
        <w:rPr>
          <w:sz w:val="28"/>
          <w:szCs w:val="28"/>
          <w:lang w:eastAsia="ru-RU"/>
        </w:rPr>
        <w:t>)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Объем безвозмездных поступлений на 2021 год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(тыс. рублей)</w:t>
      </w:r>
    </w:p>
    <w:tbl>
      <w:tblPr>
        <w:tblW w:w="10456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7905"/>
        <w:gridCol w:w="1275"/>
        <w:gridCol w:w="1276"/>
      </w:tblGrid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1794,550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28,200</w:t>
            </w:r>
          </w:p>
        </w:tc>
      </w:tr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Дотации на выравнивание бюджетной обеспеченности РБ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Дотации на выравнивание бюджетной обеспеченности МБ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1789,100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28,000</w:t>
            </w:r>
          </w:p>
        </w:tc>
      </w:tr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310,100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18,100</w:t>
            </w:r>
          </w:p>
        </w:tc>
      </w:tr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глее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310,100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18,100</w:t>
            </w:r>
          </w:p>
        </w:tc>
      </w:tr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решении принятого органами власти другого уровня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96,600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25,465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1822,566</w:t>
            </w:r>
          </w:p>
        </w:tc>
      </w:tr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Обеспечение первоочередных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25,465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1822,566</w:t>
            </w:r>
          </w:p>
        </w:tc>
      </w:tr>
      <w:tr w:rsidR="002412C5" w:rsidRPr="00040DA9" w:rsidTr="002412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БЕЗВОЗМНЗДНЫЕ ПОСТУПЛЕНИЯ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4095,581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12C5" w:rsidRPr="009511BE" w:rsidRDefault="002412C5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4"/>
          <w:szCs w:val="24"/>
          <w:lang w:eastAsia="ru-RU"/>
        </w:rPr>
        <w:t> </w:t>
      </w: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lastRenderedPageBreak/>
        <w:t xml:space="preserve">Приложение 7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Объем безвозмездных поступлений на 2022 – 2023 годы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(тыс. рублей)</w:t>
      </w:r>
    </w:p>
    <w:tbl>
      <w:tblPr>
        <w:tblW w:w="10207" w:type="dxa"/>
        <w:tblCellMar>
          <w:left w:w="0" w:type="dxa"/>
          <w:right w:w="0" w:type="dxa"/>
        </w:tblCellMar>
        <w:tblLook w:val="04A0"/>
      </w:tblPr>
      <w:tblGrid>
        <w:gridCol w:w="7230"/>
        <w:gridCol w:w="1560"/>
        <w:gridCol w:w="1417"/>
      </w:tblGrid>
      <w:tr w:rsidR="002412C5" w:rsidRPr="00040DA9" w:rsidTr="002412C5">
        <w:trPr>
          <w:trHeight w:val="420"/>
        </w:trPr>
        <w:tc>
          <w:tcPr>
            <w:tcW w:w="7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2412C5" w:rsidRPr="00040DA9" w:rsidTr="002412C5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2412C5" w:rsidRPr="00040DA9" w:rsidTr="002412C5">
        <w:trPr>
          <w:trHeight w:val="285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1 796,264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1 797,188</w:t>
            </w:r>
          </w:p>
        </w:tc>
      </w:tr>
      <w:tr w:rsidR="002412C5" w:rsidRPr="00040DA9" w:rsidTr="002412C5">
        <w:trPr>
          <w:trHeight w:val="3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Дотации на выравнивание бюджетной обеспеченности РБ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5,664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5,888</w:t>
            </w:r>
          </w:p>
        </w:tc>
      </w:tr>
      <w:tr w:rsidR="002412C5" w:rsidRPr="00040DA9" w:rsidTr="002412C5">
        <w:trPr>
          <w:trHeight w:val="3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Дотации на выравнивание бюджетной обеспеченности МБ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1 790,600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1 791,300</w:t>
            </w:r>
          </w:p>
        </w:tc>
      </w:tr>
      <w:tr w:rsidR="002412C5" w:rsidRPr="00040DA9" w:rsidTr="002412C5">
        <w:trPr>
          <w:trHeight w:val="285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</w:t>
            </w:r>
          </w:p>
        </w:tc>
      </w:tr>
      <w:tr w:rsidR="002412C5" w:rsidRPr="00040DA9" w:rsidTr="002412C5">
        <w:trPr>
          <w:trHeight w:val="6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</w:t>
            </w:r>
          </w:p>
        </w:tc>
      </w:tr>
      <w:tr w:rsidR="002412C5" w:rsidRPr="00040DA9" w:rsidTr="002412C5">
        <w:trPr>
          <w:trHeight w:val="57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12,427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1,732</w:t>
            </w:r>
          </w:p>
        </w:tc>
      </w:tr>
      <w:tr w:rsidR="002412C5" w:rsidRPr="00040DA9" w:rsidTr="002412C5">
        <w:trPr>
          <w:trHeight w:val="3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Обеспечение первоочередных расходов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12,427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1,732</w:t>
            </w:r>
          </w:p>
        </w:tc>
      </w:tr>
      <w:tr w:rsidR="002412C5" w:rsidRPr="00040DA9" w:rsidTr="002412C5">
        <w:trPr>
          <w:trHeight w:val="3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2 122,291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2 112,520</w:t>
            </w:r>
          </w:p>
        </w:tc>
      </w:tr>
    </w:tbl>
    <w:p w:rsidR="002412C5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040DA9" w:rsidRPr="00040DA9" w:rsidRDefault="00040DA9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lastRenderedPageBreak/>
        <w:t xml:space="preserve">Приложение 8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(в ред. </w:t>
      </w:r>
      <w:hyperlink r:id="rId9" w:tgtFrame="_blank" w:history="1">
        <w:r w:rsidRPr="00040DA9">
          <w:rPr>
            <w:color w:val="0000FF"/>
            <w:sz w:val="28"/>
            <w:szCs w:val="28"/>
            <w:u w:val="single"/>
            <w:lang w:eastAsia="ru-RU"/>
          </w:rPr>
          <w:t>Решения от 01.10.2021 г. № 39</w:t>
        </w:r>
      </w:hyperlink>
      <w:r w:rsidRPr="00040DA9">
        <w:rPr>
          <w:sz w:val="28"/>
          <w:szCs w:val="28"/>
          <w:lang w:eastAsia="ru-RU"/>
        </w:rPr>
        <w:t>)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Распределение бюджетных ассигнований по целевым статьям, видам расходов, ведомствам, а также по разделам, подразделам классификации расходов бюджета на 2021 год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10048" w:type="dxa"/>
        <w:tblCellMar>
          <w:left w:w="0" w:type="dxa"/>
          <w:right w:w="0" w:type="dxa"/>
        </w:tblCellMar>
        <w:tblLook w:val="04A0"/>
      </w:tblPr>
      <w:tblGrid>
        <w:gridCol w:w="4149"/>
        <w:gridCol w:w="1522"/>
        <w:gridCol w:w="850"/>
        <w:gridCol w:w="743"/>
        <w:gridCol w:w="618"/>
        <w:gridCol w:w="648"/>
        <w:gridCol w:w="1518"/>
      </w:tblGrid>
      <w:tr w:rsidR="002412C5" w:rsidRPr="00040DA9" w:rsidTr="002412C5">
        <w:trPr>
          <w:trHeight w:val="255"/>
        </w:trPr>
        <w:tc>
          <w:tcPr>
            <w:tcW w:w="4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(тыс. руб.)</w:t>
            </w:r>
          </w:p>
        </w:tc>
      </w:tr>
    </w:tbl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5337"/>
        <w:gridCol w:w="1663"/>
        <w:gridCol w:w="763"/>
        <w:gridCol w:w="882"/>
        <w:gridCol w:w="1014"/>
        <w:gridCol w:w="1483"/>
        <w:gridCol w:w="1546"/>
      </w:tblGrid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Целевая</w:t>
            </w:r>
          </w:p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Вид</w:t>
            </w:r>
          </w:p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Рас-</w:t>
            </w:r>
          </w:p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хода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3821,11500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1399,300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664,100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510,00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 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510,000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510,000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510,000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154,100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154,100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154,100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154,100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735,200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560,000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560,000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560,000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560,000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175,200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175,200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175,2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175,200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328,200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230,400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230,400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230,400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230,400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230,400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28,200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28,600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28,200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28,200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Осуществление расходов на выполнение передаваемых полномочий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9940000000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47,73500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Расходы, связанные с осуществлением полномочий по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контрольносчетной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палате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47,73500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47,73500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47,73500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47,73500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47,73500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2011,100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2011,100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2011,100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1150,000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1150,000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1150,000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Взносы по обязательному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999008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346,4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346,400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346,400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346,400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государственных(муниципальных)органов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234,000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234,000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234,000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234,000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70,700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70,700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70,700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2585,188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110,111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110,111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145,000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145,000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26,33828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26,33828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Закупка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659,400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659,400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67,31784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090048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67,31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784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67,31784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67,31784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18,50539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18,50539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18,50539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18,50539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9990081700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38,000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9990081700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38,000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9990081700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38,000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Обеспечение мероприятий по расходам в связи 75-летия Победы 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9990081700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38,000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96,000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96,000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96,000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Резервный фонд администрации по предупреждению чрезвычайных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96,000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20,850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20,850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20,850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20,850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Прочая закупка товаров, работ и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220F25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220F255550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220F255550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Реализация программ формирования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совремменой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220F255550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</w:t>
            </w:r>
          </w:p>
        </w:tc>
      </w:tr>
      <w:tr w:rsidR="002412C5" w:rsidRPr="00040DA9" w:rsidTr="002412C5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12C5" w:rsidRPr="009511BE" w:rsidRDefault="002412C5" w:rsidP="009511BE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lastRenderedPageBreak/>
        <w:t xml:space="preserve">Приложение 9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Распределение бюджетных ассигнований по целевым статьям, видам расходов, ведомствам, а также по разделам, подразделам классификации расходов бюджета на 2022 – 2023 годы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9910" w:type="dxa"/>
        <w:tblCellMar>
          <w:left w:w="0" w:type="dxa"/>
          <w:right w:w="0" w:type="dxa"/>
        </w:tblCellMar>
        <w:tblLook w:val="04A0"/>
      </w:tblPr>
      <w:tblGrid>
        <w:gridCol w:w="2942"/>
        <w:gridCol w:w="1663"/>
        <w:gridCol w:w="1152"/>
        <w:gridCol w:w="882"/>
        <w:gridCol w:w="1014"/>
        <w:gridCol w:w="1483"/>
        <w:gridCol w:w="1406"/>
        <w:gridCol w:w="1406"/>
      </w:tblGrid>
      <w:tr w:rsidR="002412C5" w:rsidRPr="00040DA9" w:rsidTr="002412C5">
        <w:trPr>
          <w:trHeight w:val="255"/>
        </w:trPr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2412C5" w:rsidRPr="00040DA9" w:rsidTr="002412C5">
        <w:trPr>
          <w:trHeight w:val="409"/>
        </w:trPr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6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2412C5" w:rsidRPr="00040DA9" w:rsidTr="002412C5">
        <w:trPr>
          <w:trHeight w:val="2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2023год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3 745,59100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3 664,26900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1 391,00000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1 391,00000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сельское поселение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993005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12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65,0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1 877,75600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1 796,43400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Прочие мероприятия, связанные с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выполнением обязательств органов местного самоуправления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1 877,75600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1 796,43400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408,35600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327,03400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408,35600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327,03400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Национальная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999008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24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5,00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32,38000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32,38000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120,97600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39,65400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120,97600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39,65400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сельское поселение "Новозаганское"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176,35100</w:t>
            </w:r>
          </w:p>
        </w:tc>
      </w:tr>
      <w:tr w:rsidR="002412C5" w:rsidRPr="00040DA9" w:rsidTr="002412C5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3 833,59100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3 840,62000</w:t>
            </w:r>
          </w:p>
        </w:tc>
      </w:tr>
    </w:tbl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lastRenderedPageBreak/>
        <w:t xml:space="preserve">Приложение 10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Ведомственная структура расходов местного бюджета на 2021 год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10352" w:type="dxa"/>
        <w:tblCellMar>
          <w:left w:w="0" w:type="dxa"/>
          <w:right w:w="0" w:type="dxa"/>
        </w:tblCellMar>
        <w:tblLook w:val="04A0"/>
      </w:tblPr>
      <w:tblGrid>
        <w:gridCol w:w="2942"/>
        <w:gridCol w:w="1262"/>
        <w:gridCol w:w="1014"/>
        <w:gridCol w:w="1483"/>
        <w:gridCol w:w="1663"/>
        <w:gridCol w:w="1152"/>
        <w:gridCol w:w="1406"/>
      </w:tblGrid>
      <w:tr w:rsidR="002412C5" w:rsidRPr="00040DA9" w:rsidTr="002412C5">
        <w:trPr>
          <w:trHeight w:val="255"/>
        </w:trPr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2412C5" w:rsidRPr="00040DA9" w:rsidTr="002412C5">
        <w:trPr>
          <w:trHeight w:val="924"/>
        </w:trPr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распоря-дитель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распоря-дитель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бюджет-ных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3 821,11500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3 153,63500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Руководство и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310,10000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310,10000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310,10000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310,10000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310,10000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30,10000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32,38000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Прочие мероприятия, связанные с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3 821,11500</w:t>
            </w:r>
          </w:p>
        </w:tc>
      </w:tr>
    </w:tbl>
    <w:p w:rsidR="002412C5" w:rsidRPr="009511BE" w:rsidRDefault="002412C5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4"/>
          <w:szCs w:val="24"/>
          <w:lang w:eastAsia="ru-RU"/>
        </w:rPr>
        <w:t> </w:t>
      </w: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lastRenderedPageBreak/>
        <w:t>Приложение 11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к Решению Совета депутатов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Ведомственная структура расходов местного бюджета на 2022-2023 годы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(тыс. руб.)</w:t>
      </w:r>
    </w:p>
    <w:tbl>
      <w:tblPr>
        <w:tblW w:w="10909" w:type="dxa"/>
        <w:tblCellMar>
          <w:left w:w="0" w:type="dxa"/>
          <w:right w:w="0" w:type="dxa"/>
        </w:tblCellMar>
        <w:tblLook w:val="04A0"/>
      </w:tblPr>
      <w:tblGrid>
        <w:gridCol w:w="2942"/>
        <w:gridCol w:w="882"/>
        <w:gridCol w:w="700"/>
        <w:gridCol w:w="794"/>
        <w:gridCol w:w="1663"/>
        <w:gridCol w:w="1152"/>
        <w:gridCol w:w="1406"/>
        <w:gridCol w:w="1406"/>
      </w:tblGrid>
      <w:tr w:rsidR="002412C5" w:rsidRPr="00040DA9" w:rsidTr="002412C5">
        <w:trPr>
          <w:trHeight w:val="561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Раз-дел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Под-раз-дел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0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2412C5" w:rsidRPr="00040DA9" w:rsidTr="002412C5">
        <w:trPr>
          <w:trHeight w:val="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040DA9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3 745,59100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3 664,26900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3 153,63500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3 153,63500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611,00000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470,00000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141,00000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780,00000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180,00000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43,23500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Другие общегосударственные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1 719,40000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900,00000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60,40000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250,00000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Уплата налога на имущество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37,00000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313,60000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215,00000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65,00000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33,60000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Национальная безопасность и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5,00000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32,38000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32,38000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Прочая закупка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999008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24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10,0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10,0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22,38000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120,97600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39,65400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120,97600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39,65400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120,97600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39,65400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120,97600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39,65400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120,97600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39,65400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120,97600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39,65400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Доплаты к 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пенсиям, дополнительное пенсионное обеспечение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995000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120,</w:t>
            </w: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120,00000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88,00000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176,35100</w:t>
            </w:r>
          </w:p>
        </w:tc>
      </w:tr>
      <w:tr w:rsidR="002412C5" w:rsidRPr="00040DA9" w:rsidTr="002412C5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3 833,59100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70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3 840,62000</w:t>
            </w:r>
          </w:p>
        </w:tc>
      </w:tr>
    </w:tbl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lastRenderedPageBreak/>
        <w:t xml:space="preserve">Приложение 12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«О местном бюджете на 2021 год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040DA9" w:rsidRDefault="002412C5" w:rsidP="00040DA9">
      <w:pPr>
        <w:pStyle w:val="a6"/>
        <w:jc w:val="right"/>
        <w:rPr>
          <w:sz w:val="28"/>
          <w:szCs w:val="28"/>
          <w:lang w:eastAsia="ru-RU"/>
        </w:rPr>
      </w:pPr>
      <w:r w:rsidRPr="00040DA9">
        <w:rPr>
          <w:sz w:val="28"/>
          <w:szCs w:val="28"/>
          <w:lang w:eastAsia="ru-RU"/>
        </w:rPr>
        <w:t>от 29 декабря 2020 года № 34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Источники финансирования дефицита местного бюджета на 2021 год</w:t>
      </w:r>
    </w:p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2412C5" w:rsidRPr="00040DA9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(тыс. рублей)</w:t>
      </w:r>
    </w:p>
    <w:tbl>
      <w:tblPr>
        <w:tblW w:w="10580" w:type="dxa"/>
        <w:tblCellMar>
          <w:left w:w="0" w:type="dxa"/>
          <w:right w:w="0" w:type="dxa"/>
        </w:tblCellMar>
        <w:tblLook w:val="04A0"/>
      </w:tblPr>
      <w:tblGrid>
        <w:gridCol w:w="3240"/>
        <w:gridCol w:w="5680"/>
        <w:gridCol w:w="1660"/>
      </w:tblGrid>
      <w:tr w:rsidR="002412C5" w:rsidRPr="00040DA9" w:rsidTr="002412C5">
        <w:trPr>
          <w:trHeight w:val="4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412C5" w:rsidRPr="00040DA9" w:rsidTr="002412C5">
        <w:trPr>
          <w:trHeight w:val="6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860 01 05 00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2412C5" w:rsidRPr="00040DA9" w:rsidTr="002412C5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860 01 05 00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-3 821,115</w:t>
            </w:r>
          </w:p>
        </w:tc>
      </w:tr>
      <w:tr w:rsidR="002412C5" w:rsidRPr="00040DA9" w:rsidTr="002412C5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860 01 05 02 00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-3 821,115</w:t>
            </w:r>
          </w:p>
        </w:tc>
      </w:tr>
      <w:tr w:rsidR="002412C5" w:rsidRPr="00040DA9" w:rsidTr="002412C5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860 01 05 02 01 00 0000 500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-3 821,115</w:t>
            </w:r>
          </w:p>
        </w:tc>
      </w:tr>
      <w:tr w:rsidR="002412C5" w:rsidRPr="00040DA9" w:rsidTr="002412C5">
        <w:trPr>
          <w:trHeight w:val="61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860 01 05 02 01 10 0000 510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-3 821,115</w:t>
            </w:r>
          </w:p>
        </w:tc>
      </w:tr>
      <w:tr w:rsidR="002412C5" w:rsidRPr="00040DA9" w:rsidTr="002412C5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860 01 05 00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3 821,115</w:t>
            </w:r>
          </w:p>
        </w:tc>
      </w:tr>
      <w:tr w:rsidR="002412C5" w:rsidRPr="00040DA9" w:rsidTr="002412C5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860 01 05 02 00 </w:t>
            </w:r>
            <w:proofErr w:type="spellStart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040DA9">
              <w:rPr>
                <w:rFonts w:eastAsia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3 821,115</w:t>
            </w:r>
          </w:p>
        </w:tc>
      </w:tr>
      <w:tr w:rsidR="002412C5" w:rsidRPr="00040DA9" w:rsidTr="002412C5">
        <w:trPr>
          <w:trHeight w:val="45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860 01 05 02 01 00 0000 600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3 821,115</w:t>
            </w:r>
          </w:p>
        </w:tc>
      </w:tr>
      <w:tr w:rsidR="002412C5" w:rsidRPr="00040DA9" w:rsidTr="002412C5">
        <w:trPr>
          <w:trHeight w:val="61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860 01 05 02 01 10 0000 610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3 821,115</w:t>
            </w:r>
          </w:p>
        </w:tc>
      </w:tr>
      <w:tr w:rsidR="002412C5" w:rsidRPr="00040DA9" w:rsidTr="002412C5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040DA9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0DA9">
              <w:rPr>
                <w:rFonts w:eastAsia="Times New Roman"/>
                <w:sz w:val="28"/>
                <w:szCs w:val="28"/>
                <w:lang w:eastAsia="ru-RU"/>
              </w:rPr>
              <w:t>0,00000</w:t>
            </w:r>
          </w:p>
        </w:tc>
      </w:tr>
    </w:tbl>
    <w:p w:rsidR="002412C5" w:rsidRPr="00040DA9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0DA9">
        <w:rPr>
          <w:rFonts w:eastAsia="Times New Roman"/>
          <w:sz w:val="28"/>
          <w:szCs w:val="28"/>
          <w:lang w:eastAsia="ru-RU"/>
        </w:rPr>
        <w:t> </w:t>
      </w:r>
    </w:p>
    <w:p w:rsidR="00040DA9" w:rsidRDefault="00040DA9" w:rsidP="009511BE">
      <w:pPr>
        <w:spacing w:before="100" w:beforeAutospacing="1" w:after="100" w:afterAutospacing="1" w:line="240" w:lineRule="auto"/>
        <w:ind w:left="60"/>
        <w:jc w:val="right"/>
        <w:rPr>
          <w:rFonts w:eastAsia="Times New Roman"/>
          <w:sz w:val="24"/>
          <w:szCs w:val="24"/>
          <w:lang w:eastAsia="ru-RU"/>
        </w:rPr>
      </w:pP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lastRenderedPageBreak/>
        <w:t xml:space="preserve">Приложение 13 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«О местном бюджете на 2021 год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от 29 декабря 2020 года № 34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5D078B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D078B">
        <w:rPr>
          <w:rFonts w:eastAsia="Times New Roman"/>
          <w:sz w:val="28"/>
          <w:szCs w:val="28"/>
          <w:lang w:eastAsia="ru-RU"/>
        </w:rPr>
        <w:t>Источники финансирования дефицита местного бюджета на 2022-2023 годы</w:t>
      </w:r>
    </w:p>
    <w:p w:rsidR="002412C5" w:rsidRPr="005D078B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D078B">
        <w:rPr>
          <w:rFonts w:eastAsia="Times New Roman"/>
          <w:sz w:val="28"/>
          <w:szCs w:val="28"/>
          <w:lang w:eastAsia="ru-RU"/>
        </w:rPr>
        <w:t> </w:t>
      </w:r>
    </w:p>
    <w:p w:rsidR="002412C5" w:rsidRPr="005D078B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5D078B">
        <w:rPr>
          <w:rFonts w:eastAsia="Times New Roman"/>
          <w:sz w:val="28"/>
          <w:szCs w:val="28"/>
          <w:lang w:eastAsia="ru-RU"/>
        </w:rPr>
        <w:t>(тыс. рублей)</w:t>
      </w:r>
    </w:p>
    <w:tbl>
      <w:tblPr>
        <w:tblW w:w="10916" w:type="dxa"/>
        <w:tblCellMar>
          <w:left w:w="0" w:type="dxa"/>
          <w:right w:w="0" w:type="dxa"/>
        </w:tblCellMar>
        <w:tblLook w:val="04A0"/>
      </w:tblPr>
      <w:tblGrid>
        <w:gridCol w:w="3240"/>
        <w:gridCol w:w="4557"/>
        <w:gridCol w:w="1559"/>
        <w:gridCol w:w="1560"/>
      </w:tblGrid>
      <w:tr w:rsidR="002412C5" w:rsidRPr="005D078B" w:rsidTr="002412C5">
        <w:trPr>
          <w:trHeight w:val="315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2412C5" w:rsidRPr="005D078B" w:rsidTr="002412C5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5D078B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5D078B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412C5" w:rsidRPr="005D078B" w:rsidTr="002412C5">
        <w:trPr>
          <w:trHeight w:val="67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860 01 05 00 </w:t>
            </w:r>
            <w:proofErr w:type="spellStart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412C5" w:rsidRPr="005D078B" w:rsidTr="002412C5">
        <w:trPr>
          <w:trHeight w:val="49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860 01 05 00 </w:t>
            </w:r>
            <w:proofErr w:type="spellStart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-3 833,591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-3 840,620</w:t>
            </w:r>
          </w:p>
        </w:tc>
      </w:tr>
      <w:tr w:rsidR="002412C5" w:rsidRPr="005D078B" w:rsidTr="002412C5">
        <w:trPr>
          <w:trHeight w:val="49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860 01 05 02 00 </w:t>
            </w:r>
            <w:proofErr w:type="spellStart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-3 833,591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-3 840,620</w:t>
            </w:r>
          </w:p>
        </w:tc>
      </w:tr>
      <w:tr w:rsidR="002412C5" w:rsidRPr="005D078B" w:rsidTr="002412C5">
        <w:trPr>
          <w:trHeight w:val="49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860 01 05 02 01 00 0000 500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-3 833,591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-3 840,620</w:t>
            </w:r>
          </w:p>
        </w:tc>
      </w:tr>
      <w:tr w:rsidR="002412C5" w:rsidRPr="005D078B" w:rsidTr="002412C5">
        <w:trPr>
          <w:trHeight w:val="72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860 01 05 02 01 10 0000 510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-3 833,591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-3 840,620</w:t>
            </w:r>
          </w:p>
        </w:tc>
      </w:tr>
      <w:tr w:rsidR="002412C5" w:rsidRPr="005D078B" w:rsidTr="002412C5">
        <w:trPr>
          <w:trHeight w:val="43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860 01 05 00 </w:t>
            </w:r>
            <w:proofErr w:type="spellStart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3 833,591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3 840,620</w:t>
            </w:r>
          </w:p>
        </w:tc>
      </w:tr>
      <w:tr w:rsidR="002412C5" w:rsidRPr="005D078B" w:rsidTr="002412C5">
        <w:trPr>
          <w:trHeight w:val="43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860 01 05 02 00 </w:t>
            </w:r>
            <w:proofErr w:type="spellStart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D078B">
              <w:rPr>
                <w:rFonts w:eastAsia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3 833,591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3 840,620</w:t>
            </w:r>
          </w:p>
        </w:tc>
      </w:tr>
      <w:tr w:rsidR="002412C5" w:rsidRPr="005D078B" w:rsidTr="002412C5">
        <w:trPr>
          <w:trHeight w:val="43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860 01 05 02 01 00 0000 600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3 833,591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3 840,620</w:t>
            </w:r>
          </w:p>
        </w:tc>
      </w:tr>
      <w:tr w:rsidR="002412C5" w:rsidRPr="005D078B" w:rsidTr="002412C5">
        <w:trPr>
          <w:trHeight w:val="6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860 01 05 02 01 10 0000 610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3 833,591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3 840,620</w:t>
            </w:r>
          </w:p>
        </w:tc>
      </w:tr>
      <w:tr w:rsidR="002412C5" w:rsidRPr="005D078B" w:rsidTr="002412C5">
        <w:trPr>
          <w:trHeight w:val="300"/>
        </w:trPr>
        <w:tc>
          <w:tcPr>
            <w:tcW w:w="7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2412C5" w:rsidRPr="005D078B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5D078B">
        <w:rPr>
          <w:rFonts w:eastAsia="Times New Roman"/>
          <w:sz w:val="28"/>
          <w:szCs w:val="28"/>
          <w:lang w:eastAsia="ru-RU"/>
        </w:rPr>
        <w:t> 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lastRenderedPageBreak/>
        <w:t xml:space="preserve">Приложение 14 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«О местном бюджете на 2021 год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от 29 декабря 2020 года № 34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Методика расчета иных межбюджетных трансфертов бюджету муниципального образования «Мухоршибирский район»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4"/>
          <w:szCs w:val="24"/>
          <w:lang w:eastAsia="ru-RU"/>
        </w:rPr>
        <w:t> 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1. Расчет иных межбюджетных трансфертов бюджету муниципального района на оплату осуществления полномочий КСО (далее иные межбюджетные трансферты).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2. Настоящая методика определяет условия распределения иных межбюджетных трансфертов на оплату осуществления по переданным полномочиям.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3. Размер иных межбюджетных трансфертов рассчитывается по следующей формуле: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511BE">
        <w:rPr>
          <w:rFonts w:eastAsia="Times New Roman"/>
          <w:sz w:val="28"/>
          <w:szCs w:val="28"/>
          <w:lang w:eastAsia="ru-RU"/>
        </w:rPr>
        <w:t>Сi</w:t>
      </w:r>
      <w:proofErr w:type="spellEnd"/>
      <w:r w:rsidRPr="009511BE">
        <w:rPr>
          <w:rFonts w:eastAsia="Times New Roman"/>
          <w:sz w:val="28"/>
          <w:szCs w:val="28"/>
          <w:lang w:eastAsia="ru-RU"/>
        </w:rPr>
        <w:t xml:space="preserve"> = C /Q*F где: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511BE">
        <w:rPr>
          <w:rFonts w:eastAsia="Times New Roman"/>
          <w:sz w:val="28"/>
          <w:szCs w:val="28"/>
          <w:lang w:eastAsia="ru-RU"/>
        </w:rPr>
        <w:t>Сi</w:t>
      </w:r>
      <w:proofErr w:type="spellEnd"/>
      <w:r w:rsidRPr="009511BE">
        <w:rPr>
          <w:rFonts w:eastAsia="Times New Roman"/>
          <w:sz w:val="28"/>
          <w:szCs w:val="28"/>
          <w:lang w:eastAsia="ru-RU"/>
        </w:rPr>
        <w:t xml:space="preserve"> – объём иных межбюджетных трансфертов бюджету муниципального района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 xml:space="preserve">С - общий объём иных межбюджетных трансфертов 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Q - общая численность населения, удовлетворяющая условию предоставления иных межбюджетных трансфертов по состоянию на 1 января текущего года.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F- численность населения СП "</w:t>
      </w:r>
      <w:proofErr w:type="spellStart"/>
      <w:r w:rsidRPr="009511BE">
        <w:rPr>
          <w:rFonts w:eastAsia="Times New Roman"/>
          <w:sz w:val="28"/>
          <w:szCs w:val="28"/>
          <w:lang w:eastAsia="ru-RU"/>
        </w:rPr>
        <w:t>Шаралдайское</w:t>
      </w:r>
      <w:proofErr w:type="spellEnd"/>
      <w:r w:rsidRPr="009511BE">
        <w:rPr>
          <w:rFonts w:eastAsia="Times New Roman"/>
          <w:sz w:val="28"/>
          <w:szCs w:val="28"/>
          <w:lang w:eastAsia="ru-RU"/>
        </w:rPr>
        <w:t xml:space="preserve">", удовлетворяющая условию предоставления иных межбюджетных трансфертов по состоянию на 1 января текущего года. 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4. Расходование иных межбюджетных трансфертов органами местного самоуправления осуществляется на оплату осуществления полномочий.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lastRenderedPageBreak/>
        <w:t>5. Ответственность за целевое и эффективное использование иных межбюджетных трансфертов несут органы местного самоуправления района.</w:t>
      </w:r>
    </w:p>
    <w:p w:rsidR="002412C5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4"/>
          <w:szCs w:val="24"/>
          <w:lang w:eastAsia="ru-RU"/>
        </w:rPr>
        <w:t> </w:t>
      </w:r>
    </w:p>
    <w:p w:rsidR="009511BE" w:rsidRDefault="009511BE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9511BE" w:rsidRDefault="009511BE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5D078B" w:rsidRDefault="005D078B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9511BE" w:rsidRDefault="009511BE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9511BE" w:rsidRDefault="009511BE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9511BE" w:rsidRDefault="009511BE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9511BE" w:rsidRPr="009511BE" w:rsidRDefault="009511BE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4"/>
          <w:szCs w:val="24"/>
          <w:lang w:eastAsia="ru-RU"/>
        </w:rPr>
      </w:pP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lastRenderedPageBreak/>
        <w:t xml:space="preserve">Приложение 15 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 xml:space="preserve">к Решению Совета депутатов 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 xml:space="preserve">муниципального образования 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сельское поселение «Новозаганское»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«О местном бюджете на 2021 год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и на плановый период 2022 и 2023 годов»</w:t>
      </w:r>
    </w:p>
    <w:p w:rsidR="002412C5" w:rsidRPr="005D078B" w:rsidRDefault="002412C5" w:rsidP="005D078B">
      <w:pPr>
        <w:pStyle w:val="a6"/>
        <w:jc w:val="right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от 29 декабря 2020 года № 34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9511BE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11BE">
        <w:rPr>
          <w:rFonts w:eastAsia="Times New Roman"/>
          <w:sz w:val="28"/>
          <w:szCs w:val="28"/>
          <w:lang w:eastAsia="ru-RU"/>
        </w:rPr>
        <w:t> </w:t>
      </w:r>
    </w:p>
    <w:p w:rsidR="002412C5" w:rsidRPr="005D078B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D078B">
        <w:rPr>
          <w:rFonts w:eastAsia="Times New Roman"/>
          <w:sz w:val="28"/>
          <w:szCs w:val="28"/>
          <w:lang w:eastAsia="ru-RU"/>
        </w:rPr>
        <w:t>Распределение иных межбюджетных трансфертов бюджету муниципального образования «Мухоршибирский район» на 2021 год и на плановый период 2022-2023 годы.</w:t>
      </w:r>
    </w:p>
    <w:p w:rsidR="002412C5" w:rsidRPr="005D078B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D078B">
        <w:rPr>
          <w:rFonts w:eastAsia="Times New Roman"/>
          <w:sz w:val="28"/>
          <w:szCs w:val="28"/>
          <w:lang w:eastAsia="ru-RU"/>
        </w:rPr>
        <w:t> </w:t>
      </w:r>
    </w:p>
    <w:p w:rsidR="002412C5" w:rsidRPr="005D078B" w:rsidRDefault="002412C5" w:rsidP="009511BE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sz w:val="28"/>
          <w:szCs w:val="28"/>
          <w:lang w:eastAsia="ru-RU"/>
        </w:rPr>
      </w:pPr>
      <w:r w:rsidRPr="005D078B">
        <w:rPr>
          <w:rFonts w:eastAsia="Times New Roman"/>
          <w:sz w:val="28"/>
          <w:szCs w:val="28"/>
          <w:lang w:eastAsia="ru-RU"/>
        </w:rPr>
        <w:t>(тыс. рублей)</w:t>
      </w:r>
    </w:p>
    <w:tbl>
      <w:tblPr>
        <w:tblW w:w="10120" w:type="dxa"/>
        <w:tblCellMar>
          <w:left w:w="0" w:type="dxa"/>
          <w:right w:w="0" w:type="dxa"/>
        </w:tblCellMar>
        <w:tblLook w:val="04A0"/>
      </w:tblPr>
      <w:tblGrid>
        <w:gridCol w:w="5500"/>
        <w:gridCol w:w="1540"/>
        <w:gridCol w:w="1540"/>
        <w:gridCol w:w="1540"/>
      </w:tblGrid>
      <w:tr w:rsidR="002412C5" w:rsidRPr="005D078B" w:rsidTr="002412C5">
        <w:trPr>
          <w:trHeight w:val="315"/>
        </w:trPr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412C5" w:rsidRPr="005D078B" w:rsidTr="002412C5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2C5" w:rsidRPr="005D078B" w:rsidRDefault="002412C5" w:rsidP="009511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412C5" w:rsidRPr="005D078B" w:rsidTr="002412C5">
        <w:trPr>
          <w:trHeight w:val="570"/>
        </w:trPr>
        <w:tc>
          <w:tcPr>
            <w:tcW w:w="5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43,235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43,235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C5" w:rsidRPr="005D078B" w:rsidRDefault="002412C5" w:rsidP="009511BE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78B">
              <w:rPr>
                <w:rFonts w:eastAsia="Times New Roman"/>
                <w:sz w:val="28"/>
                <w:szCs w:val="28"/>
                <w:lang w:eastAsia="ru-RU"/>
              </w:rPr>
              <w:t>43,235</w:t>
            </w:r>
          </w:p>
        </w:tc>
      </w:tr>
    </w:tbl>
    <w:p w:rsidR="002412C5" w:rsidRPr="005D078B" w:rsidRDefault="002412C5" w:rsidP="009511B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D078B">
        <w:rPr>
          <w:rFonts w:eastAsia="Times New Roman"/>
          <w:sz w:val="28"/>
          <w:szCs w:val="28"/>
          <w:lang w:eastAsia="ru-RU"/>
        </w:rPr>
        <w:t> </w:t>
      </w:r>
    </w:p>
    <w:p w:rsidR="002412C5" w:rsidRPr="005D078B" w:rsidRDefault="002412C5" w:rsidP="009511BE">
      <w:pPr>
        <w:spacing w:before="100" w:beforeAutospacing="1" w:after="100" w:afterAutospacing="1" w:line="24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5D078B">
        <w:rPr>
          <w:rFonts w:eastAsia="Times New Roman"/>
          <w:sz w:val="28"/>
          <w:szCs w:val="28"/>
          <w:lang w:eastAsia="ru-RU"/>
        </w:rPr>
        <w:t> </w:t>
      </w:r>
    </w:p>
    <w:p w:rsidR="00040DA9" w:rsidRPr="005D078B" w:rsidRDefault="00040DA9" w:rsidP="009511BE">
      <w:pPr>
        <w:jc w:val="both"/>
        <w:rPr>
          <w:sz w:val="28"/>
          <w:szCs w:val="28"/>
        </w:rPr>
      </w:pPr>
    </w:p>
    <w:sectPr w:rsidR="00040DA9" w:rsidRPr="005D078B" w:rsidSect="004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2C5"/>
    <w:rsid w:val="00040DA9"/>
    <w:rsid w:val="001454D5"/>
    <w:rsid w:val="002412C5"/>
    <w:rsid w:val="002605E9"/>
    <w:rsid w:val="00432C83"/>
    <w:rsid w:val="004B79D8"/>
    <w:rsid w:val="004C6D8A"/>
    <w:rsid w:val="005D078B"/>
    <w:rsid w:val="00756DB0"/>
    <w:rsid w:val="009511BE"/>
    <w:rsid w:val="00AE75B5"/>
    <w:rsid w:val="00C855B3"/>
    <w:rsid w:val="00FB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2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12C5"/>
    <w:rPr>
      <w:color w:val="800080"/>
      <w:u w:val="single"/>
    </w:rPr>
  </w:style>
  <w:style w:type="character" w:customStyle="1" w:styleId="hyperlink">
    <w:name w:val="hyperlink"/>
    <w:basedOn w:val="a0"/>
    <w:rsid w:val="002412C5"/>
  </w:style>
  <w:style w:type="paragraph" w:customStyle="1" w:styleId="listparagraph">
    <w:name w:val="listparagraph"/>
    <w:basedOn w:val="a"/>
    <w:rsid w:val="002412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2412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40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873E537-A6CF-4715-963E-7074817827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F7DE1846-3C6A-47AB-B440-B8E4CEA90C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873E537-A6CF-4715-963E-7074817827D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873E537-A6CF-4715-963E-7074817827D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873E537-A6CF-4715-963E-707481782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BC18-28EF-48E6-B748-184CE901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8528</Words>
  <Characters>48616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2022-05-25T00:59:00Z</dcterms:created>
  <dcterms:modified xsi:type="dcterms:W3CDTF">2022-05-26T00:13:00Z</dcterms:modified>
</cp:coreProperties>
</file>